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2"/>
        <w:gridCol w:w="691"/>
        <w:gridCol w:w="670"/>
        <w:gridCol w:w="922"/>
        <w:gridCol w:w="230"/>
        <w:gridCol w:w="787"/>
        <w:gridCol w:w="134"/>
        <w:gridCol w:w="1408"/>
        <w:gridCol w:w="86"/>
        <w:gridCol w:w="724"/>
        <w:gridCol w:w="544"/>
        <w:gridCol w:w="178"/>
        <w:gridCol w:w="189"/>
        <w:gridCol w:w="407"/>
        <w:gridCol w:w="832"/>
      </w:tblGrid>
      <w:tr w:rsidR="00E352A3" w:rsidRPr="00E352A3" w:rsidTr="00DF7377">
        <w:tc>
          <w:tcPr>
            <w:tcW w:w="235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bookmarkStart w:id="0" w:name="_GoBack"/>
            <w:bookmarkEnd w:id="0"/>
            <w:r w:rsidRPr="00E352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711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E352A3" w:rsidRDefault="00515206" w:rsidP="00AB6CED">
            <w:pPr>
              <w:spacing w:before="60" w:after="6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MONETARY ECONOMICS II</w:t>
            </w:r>
          </w:p>
        </w:tc>
      </w:tr>
      <w:tr w:rsidR="00E352A3" w:rsidRPr="00E352A3" w:rsidTr="00DF7377">
        <w:tc>
          <w:tcPr>
            <w:tcW w:w="166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Style w:val="Strong"/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13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352A3" w:rsidRDefault="00A71C1F" w:rsidP="0051520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</w:rPr>
              <w:t>EUE310</w:t>
            </w:r>
          </w:p>
        </w:tc>
        <w:tc>
          <w:tcPr>
            <w:tcW w:w="2415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874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352A3" w:rsidRDefault="00A71C1F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</w:tr>
      <w:tr w:rsidR="00E352A3" w:rsidRPr="00E352A3" w:rsidTr="00DF7377">
        <w:tc>
          <w:tcPr>
            <w:tcW w:w="16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13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8712C" w:rsidRPr="00E352A3" w:rsidRDefault="00A8712C" w:rsidP="00A871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Associate professor </w:t>
            </w:r>
          </w:p>
          <w:p w:rsidR="00356B47" w:rsidRPr="00E352A3" w:rsidRDefault="00C44A16" w:rsidP="00A8712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Ana Rimac Smiljanić</w:t>
            </w:r>
            <w:r w:rsidR="00A8712C"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, PhD</w:t>
            </w:r>
          </w:p>
          <w:p w:rsidR="00356B47" w:rsidRPr="00E352A3" w:rsidRDefault="00A8712C" w:rsidP="00356B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356B47"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Associate professor </w:t>
            </w:r>
          </w:p>
          <w:p w:rsidR="007868FB" w:rsidRPr="00E352A3" w:rsidRDefault="00356B47" w:rsidP="00356B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Josip Visković, PhD</w:t>
            </w:r>
          </w:p>
        </w:tc>
        <w:tc>
          <w:tcPr>
            <w:tcW w:w="241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87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352A3" w:rsidRDefault="00A71C1F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</w:t>
            </w:r>
          </w:p>
        </w:tc>
      </w:tr>
      <w:tr w:rsidR="00E352A3" w:rsidRPr="00E352A3" w:rsidTr="00DF7377">
        <w:trPr>
          <w:trHeight w:val="345"/>
        </w:trPr>
        <w:tc>
          <w:tcPr>
            <w:tcW w:w="166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13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352A3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415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2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352A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59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352A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8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E352A3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E352A3" w:rsidRPr="00E352A3" w:rsidTr="00DF7377">
        <w:trPr>
          <w:trHeight w:val="345"/>
        </w:trPr>
        <w:tc>
          <w:tcPr>
            <w:tcW w:w="166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13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56B47" w:rsidRPr="00E352A3" w:rsidRDefault="00356B47" w:rsidP="00356B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415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26 </w:t>
            </w:r>
          </w:p>
        </w:tc>
        <w:tc>
          <w:tcPr>
            <w:tcW w:w="72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56B47" w:rsidRPr="00E352A3" w:rsidRDefault="00356B47" w:rsidP="00356B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59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56B47" w:rsidRPr="00E352A3" w:rsidRDefault="0046230A" w:rsidP="00356B4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26</w:t>
            </w:r>
          </w:p>
        </w:tc>
        <w:tc>
          <w:tcPr>
            <w:tcW w:w="83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56B47" w:rsidRPr="00E352A3" w:rsidRDefault="00356B47" w:rsidP="00356B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352A3" w:rsidRPr="00E352A3" w:rsidTr="00DF7377">
        <w:tc>
          <w:tcPr>
            <w:tcW w:w="16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13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56B47" w:rsidRPr="00E352A3" w:rsidRDefault="00356B47" w:rsidP="00356B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415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87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56B47" w:rsidRPr="00E352A3" w:rsidRDefault="00356B47" w:rsidP="00E352A3">
            <w:pPr>
              <w:spacing w:after="0" w:line="240" w:lineRule="auto"/>
              <w:jc w:val="center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30%</w:t>
            </w:r>
          </w:p>
        </w:tc>
      </w:tr>
      <w:tr w:rsidR="00E352A3" w:rsidRPr="00E352A3" w:rsidTr="00DF7377">
        <w:tc>
          <w:tcPr>
            <w:tcW w:w="166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80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aim of this course is to provide students with advanced theoretical and empirical knowledge of the monetary economics.</w:t>
            </w: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Fundamental knowledge of the monetary economics.</w:t>
            </w: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352A3" w:rsidRPr="00E352A3" w:rsidTr="00DF7377">
        <w:tc>
          <w:tcPr>
            <w:tcW w:w="166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80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  Learning outcomes:</w:t>
            </w: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 Plan and manage financial decisions at the macroeconomic and microeconomic level in view of changes within the monetary system (level 7)</w:t>
            </w: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Individual learning outcomes:</w:t>
            </w: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1. Argue the opinion on the various aspects of the activities of the leading central banks in world</w:t>
            </w: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2. Evaluate the role and consequences of monetary policy in the stabilization processes in the open countries</w:t>
            </w: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3. Assess the role and consequences of monetary policy in deflation </w:t>
            </w:r>
          </w:p>
          <w:p w:rsidR="00A71C1F" w:rsidRPr="00E352A3" w:rsidRDefault="00A71C1F" w:rsidP="00A71C1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4. Critically evaluate the various aspects of interaction between monetary policy and financial stability</w:t>
            </w:r>
          </w:p>
        </w:tc>
      </w:tr>
      <w:tr w:rsidR="00E352A3" w:rsidRPr="00E352A3" w:rsidTr="00DF7377">
        <w:tc>
          <w:tcPr>
            <w:tcW w:w="166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E352A3" w:rsidRPr="00E352A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:rsidR="00E352A3" w:rsidRPr="00E352A3" w:rsidRDefault="00E352A3" w:rsidP="00E352A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352A3" w:rsidRPr="00E352A3" w:rsidRDefault="00E352A3" w:rsidP="00E352A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352A3" w:rsidRPr="00E352A3" w:rsidRDefault="00E352A3" w:rsidP="00E352A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352A3" w:rsidRPr="00E352A3" w:rsidRDefault="00E352A3" w:rsidP="00E352A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352A3" w:rsidRPr="00E352A3" w:rsidRDefault="00E352A3" w:rsidP="00E352A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352A3" w:rsidRPr="00E352A3" w:rsidRDefault="00E352A3" w:rsidP="00E352A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352A3" w:rsidRPr="00E352A3" w:rsidRDefault="00E352A3" w:rsidP="00E352A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352A3" w:rsidRPr="00E352A3" w:rsidRDefault="00E352A3" w:rsidP="00E352A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E352A3" w:rsidRPr="00E352A3" w:rsidRDefault="00E352A3" w:rsidP="00E352A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868FB" w:rsidRPr="00E352A3" w:rsidRDefault="007868FB" w:rsidP="00E352A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80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67"/>
              <w:gridCol w:w="815"/>
              <w:gridCol w:w="3014"/>
              <w:gridCol w:w="775"/>
            </w:tblGrid>
            <w:tr w:rsidR="00E352A3" w:rsidRPr="00E352A3" w:rsidTr="00DF7377">
              <w:tc>
                <w:tcPr>
                  <w:tcW w:w="3582" w:type="dxa"/>
                  <w:gridSpan w:val="2"/>
                </w:tcPr>
                <w:p w:rsidR="00A1428B" w:rsidRPr="00E352A3" w:rsidRDefault="00A1428B" w:rsidP="008123D1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Lectures</w:t>
                  </w:r>
                </w:p>
              </w:tc>
              <w:tc>
                <w:tcPr>
                  <w:tcW w:w="3789" w:type="dxa"/>
                  <w:gridSpan w:val="2"/>
                </w:tcPr>
                <w:p w:rsidR="00A1428B" w:rsidRPr="00E352A3" w:rsidRDefault="00B03260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  <w:lang w:val="en-GB"/>
                    </w:rPr>
                    <w:t>Exercises/ Seminars</w:t>
                  </w:r>
                </w:p>
              </w:tc>
            </w:tr>
            <w:tr w:rsidR="00E352A3" w:rsidRPr="00E352A3" w:rsidTr="00DF7377">
              <w:trPr>
                <w:trHeight w:val="309"/>
              </w:trPr>
              <w:tc>
                <w:tcPr>
                  <w:tcW w:w="2767" w:type="dxa"/>
                </w:tcPr>
                <w:p w:rsidR="00B03260" w:rsidRPr="00E352A3" w:rsidRDefault="00B03260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815" w:type="dxa"/>
                </w:tcPr>
                <w:p w:rsidR="00B03260" w:rsidRPr="00E352A3" w:rsidRDefault="00B03260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  <w:tc>
                <w:tcPr>
                  <w:tcW w:w="3014" w:type="dxa"/>
                </w:tcPr>
                <w:p w:rsidR="00B03260" w:rsidRPr="00E352A3" w:rsidRDefault="00B03260" w:rsidP="0058479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775" w:type="dxa"/>
                </w:tcPr>
                <w:p w:rsidR="00B03260" w:rsidRPr="00E352A3" w:rsidRDefault="00B03260" w:rsidP="00584791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Hours</w:t>
                  </w:r>
                </w:p>
              </w:tc>
            </w:tr>
            <w:tr w:rsidR="00E352A3" w:rsidRPr="00E352A3" w:rsidTr="00DF7377">
              <w:tc>
                <w:tcPr>
                  <w:tcW w:w="2767" w:type="dxa"/>
                </w:tcPr>
                <w:p w:rsidR="00DF7377" w:rsidRPr="00E352A3" w:rsidRDefault="00DF7377" w:rsidP="00A1428B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Introduction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Introduction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c>
                <w:tcPr>
                  <w:tcW w:w="2767" w:type="dxa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3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Monetary policy of FED after Bretton Woods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eastAsia="Arial Unicode MS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Monetary policy of FED after Bretton Woods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rPr>
                <w:cantSplit/>
                <w:trHeight w:val="555"/>
              </w:trPr>
              <w:tc>
                <w:tcPr>
                  <w:tcW w:w="2767" w:type="dxa"/>
                  <w:vAlign w:val="center"/>
                </w:tcPr>
                <w:p w:rsidR="00DF7377" w:rsidRPr="00E352A3" w:rsidRDefault="00DF7377" w:rsidP="009075C4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  <w:t>Inflation targeting in UK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iCs/>
                      <w:color w:val="000000" w:themeColor="text1"/>
                      <w:sz w:val="20"/>
                      <w:szCs w:val="20"/>
                      <w:lang w:val="en-GB"/>
                    </w:rPr>
                    <w:t>Inflation targeting in UK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c>
                <w:tcPr>
                  <w:tcW w:w="2767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Budesbank and Swiss National Bank: monetary targeting in Europe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4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Budesbank and Swiss National Bank: monetary targeting in Europe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rPr>
                <w:trHeight w:val="132"/>
              </w:trPr>
              <w:tc>
                <w:tcPr>
                  <w:tcW w:w="2767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Monetary policy of ECB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Monetary policy of ECB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c>
                <w:tcPr>
                  <w:tcW w:w="2767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Exchange rates and </w:t>
                  </w: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monetary policy in open economy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  <w:tc>
                <w:tcPr>
                  <w:tcW w:w="3014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 xml:space="preserve">Exchange rates and </w:t>
                  </w: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monetary policy in open economy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2</w:t>
                  </w:r>
                </w:p>
              </w:tc>
            </w:tr>
            <w:tr w:rsidR="00E352A3" w:rsidRPr="00E352A3" w:rsidTr="00DF7377">
              <w:trPr>
                <w:trHeight w:val="796"/>
              </w:trPr>
              <w:tc>
                <w:tcPr>
                  <w:tcW w:w="2767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lastRenderedPageBreak/>
                    <w:t>Foreign Exchange Rates and Monetary Policy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Foreign Exchange Rates and Monetary Policy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c>
                <w:tcPr>
                  <w:tcW w:w="2767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Stabilization programs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Stabilization programs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c>
                <w:tcPr>
                  <w:tcW w:w="2767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Croatian Stabilization Program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Croatian Stabilization Program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c>
                <w:tcPr>
                  <w:tcW w:w="2767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Monetary policy under 0% interest rate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Monetary policy under 0% interest rate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c>
                <w:tcPr>
                  <w:tcW w:w="2767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5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Deflation problems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Deflation problems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c>
                <w:tcPr>
                  <w:tcW w:w="2767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Financial Stability and Monetary Policy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Financial Stability and Monetary Policy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c>
                <w:tcPr>
                  <w:tcW w:w="2767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7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Monetary policy and bubbles in asset prices</w:t>
                  </w:r>
                </w:p>
              </w:tc>
              <w:tc>
                <w:tcPr>
                  <w:tcW w:w="81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014" w:type="dxa"/>
                  <w:vAlign w:val="center"/>
                </w:tcPr>
                <w:p w:rsidR="00DF7377" w:rsidRPr="00E352A3" w:rsidRDefault="00DF7377" w:rsidP="00DF7377">
                  <w:pPr>
                    <w:pStyle w:val="ListParagraph"/>
                    <w:numPr>
                      <w:ilvl w:val="0"/>
                      <w:numId w:val="12"/>
                    </w:num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Monetary policy and bubbles in asset prices</w:t>
                  </w:r>
                </w:p>
              </w:tc>
              <w:tc>
                <w:tcPr>
                  <w:tcW w:w="775" w:type="dxa"/>
                </w:tcPr>
                <w:p w:rsidR="00DF7377" w:rsidRPr="00E352A3" w:rsidRDefault="00DF7377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  <w:r w:rsidRPr="00E352A3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E352A3" w:rsidRPr="00E352A3" w:rsidTr="00DF7377">
              <w:trPr>
                <w:cantSplit/>
                <w:trHeight w:hRule="exact" w:val="227"/>
              </w:trPr>
              <w:tc>
                <w:tcPr>
                  <w:tcW w:w="2767" w:type="dxa"/>
                  <w:vAlign w:val="center"/>
                </w:tcPr>
                <w:p w:rsidR="00E352A3" w:rsidRPr="00E352A3" w:rsidRDefault="00E352A3" w:rsidP="00E352A3">
                  <w:pPr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15" w:type="dxa"/>
                </w:tcPr>
                <w:p w:rsidR="00E352A3" w:rsidRPr="00E352A3" w:rsidRDefault="00E352A3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014" w:type="dxa"/>
                  <w:vAlign w:val="center"/>
                </w:tcPr>
                <w:p w:rsidR="00E352A3" w:rsidRPr="00E352A3" w:rsidRDefault="00E352A3" w:rsidP="00E352A3">
                  <w:pPr>
                    <w:pStyle w:val="ListParagraph"/>
                    <w:ind w:left="36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75" w:type="dxa"/>
                </w:tcPr>
                <w:p w:rsidR="00E352A3" w:rsidRPr="00E352A3" w:rsidRDefault="00E352A3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E352A3" w:rsidRPr="00E352A3" w:rsidTr="00DF7377">
              <w:tc>
                <w:tcPr>
                  <w:tcW w:w="2767" w:type="dxa"/>
                  <w:vAlign w:val="center"/>
                </w:tcPr>
                <w:p w:rsidR="00E352A3" w:rsidRPr="00E352A3" w:rsidRDefault="00E352A3" w:rsidP="00E352A3">
                  <w:pPr>
                    <w:pStyle w:val="ListParagraph"/>
                    <w:ind w:left="36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815" w:type="dxa"/>
                </w:tcPr>
                <w:p w:rsidR="00E352A3" w:rsidRPr="00E352A3" w:rsidRDefault="00E352A3" w:rsidP="008123D1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014" w:type="dxa"/>
                  <w:vAlign w:val="center"/>
                </w:tcPr>
                <w:p w:rsidR="00E352A3" w:rsidRPr="00E352A3" w:rsidRDefault="00E352A3" w:rsidP="00E352A3">
                  <w:pPr>
                    <w:pStyle w:val="ListParagraph"/>
                    <w:ind w:left="360"/>
                    <w:rPr>
                      <w:rFonts w:ascii="Arial" w:hAnsi="Arial" w:cs="Arial"/>
                      <w:strike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75" w:type="dxa"/>
                </w:tcPr>
                <w:p w:rsidR="00E352A3" w:rsidRPr="00E352A3" w:rsidRDefault="00E352A3" w:rsidP="008123D1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:rsidR="007868FB" w:rsidRPr="00E352A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352A3" w:rsidRPr="00E352A3" w:rsidTr="00DF7377">
        <w:trPr>
          <w:trHeight w:val="349"/>
        </w:trPr>
        <w:tc>
          <w:tcPr>
            <w:tcW w:w="166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0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E352A3" w:rsidRDefault="00894CC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:rsidR="007868FB" w:rsidRPr="00E352A3" w:rsidRDefault="00356B47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7868FB"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E352A3" w:rsidRDefault="00894CC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exercises  </w:t>
            </w:r>
          </w:p>
          <w:p w:rsidR="007868FB" w:rsidRPr="00E352A3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352A3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E352A3" w:rsidRDefault="00356B47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E352A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50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E352A3" w:rsidRDefault="00894CC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:rsidR="007868FB" w:rsidRPr="00E352A3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E352A3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E352A3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E352A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4308AC"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4308AC"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="004308AC"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4308AC"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E352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E352A3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E352A3" w:rsidRPr="00E352A3" w:rsidTr="00DF7377">
        <w:trPr>
          <w:trHeight w:val="577"/>
        </w:trPr>
        <w:tc>
          <w:tcPr>
            <w:tcW w:w="166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0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50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352A3" w:rsidRPr="00E352A3" w:rsidTr="00DF7377">
        <w:tc>
          <w:tcPr>
            <w:tcW w:w="16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E352A3">
              <w:rPr>
                <w:rStyle w:val="CommentReference"/>
                <w:color w:val="000000" w:themeColor="text1"/>
                <w:lang w:val="en-GB"/>
              </w:rPr>
              <w:t xml:space="preserve"> 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80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352A3" w:rsidRDefault="007F3A05" w:rsidP="007F3A0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1A4BAF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Students are required to attend and actively participate in classes. The activity in classes, presentations (individual or group) of tasks and participation in practical exercises and discussions is expected. </w:t>
            </w:r>
            <w:r w:rsidRPr="00270D9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1A4BAF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Student activity will be monitored through self-evaluation quizzes that will be available to students on the course websites within the Moodle platform. Students must take 3 self-evaluation tests and presentation of one problem in class, otherwise they will be denied a signature. </w:t>
            </w:r>
            <w:r w:rsidRPr="00270D99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It is a mandatory attendance at 50% of the scheduled classes as well.  </w:t>
            </w:r>
            <w:r w:rsidRPr="001A4BAF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The condition for taking the exam is a signature.</w:t>
            </w:r>
          </w:p>
        </w:tc>
      </w:tr>
      <w:tr w:rsidR="00E352A3" w:rsidRPr="00E352A3" w:rsidTr="00DF7377">
        <w:trPr>
          <w:trHeight w:val="397"/>
        </w:trPr>
        <w:tc>
          <w:tcPr>
            <w:tcW w:w="166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E352A3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E352A3">
              <w:rPr>
                <w:rStyle w:val="CommentReference"/>
                <w:color w:val="000000" w:themeColor="text1"/>
                <w:lang w:val="en-GB"/>
              </w:rPr>
              <w:t xml:space="preserve"> </w:t>
            </w:r>
            <w:r w:rsidRPr="00E352A3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 xml:space="preserve">activity so that the total number of ECTS credits is equal to the ECTS </w:t>
            </w:r>
            <w:r w:rsidRPr="00E352A3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lastRenderedPageBreak/>
              <w:t>value of the course)</w:t>
            </w:r>
          </w:p>
        </w:tc>
        <w:tc>
          <w:tcPr>
            <w:tcW w:w="1361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92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352A3" w:rsidRDefault="00894CC5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151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40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352A3" w:rsidRDefault="004308AC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21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352A3" w:rsidRDefault="007868FB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23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E352A3" w:rsidRDefault="004308AC" w:rsidP="00E82EA3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352A3" w:rsidRPr="00E352A3" w:rsidTr="00DF7377">
        <w:trPr>
          <w:trHeight w:val="397"/>
        </w:trPr>
        <w:tc>
          <w:tcPr>
            <w:tcW w:w="166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61" w:type="dxa"/>
            <w:gridSpan w:val="2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922" w:type="dxa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gridSpan w:val="3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408" w:type="dxa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21" w:type="dxa"/>
            <w:gridSpan w:val="5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" w:eastAsia="hr-HR"/>
              </w:rPr>
              <w:t>Self-evaluation tasks</w:t>
            </w:r>
          </w:p>
        </w:tc>
        <w:tc>
          <w:tcPr>
            <w:tcW w:w="123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</w:tr>
      <w:tr w:rsidR="00E352A3" w:rsidRPr="00E352A3" w:rsidTr="00DF7377">
        <w:trPr>
          <w:trHeight w:val="397"/>
        </w:trPr>
        <w:tc>
          <w:tcPr>
            <w:tcW w:w="166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61" w:type="dxa"/>
            <w:gridSpan w:val="2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922" w:type="dxa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151" w:type="dxa"/>
            <w:gridSpan w:val="3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408" w:type="dxa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721" w:type="dxa"/>
            <w:gridSpan w:val="5"/>
            <w:tcMar>
              <w:left w:w="57" w:type="dxa"/>
              <w:right w:w="57" w:type="dxa"/>
            </w:tcMar>
            <w:vAlign w:val="center"/>
          </w:tcPr>
          <w:p w:rsidR="00356B47" w:rsidRPr="00E352A3" w:rsidRDefault="0074206B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</w:t>
            </w:r>
            <w:r w:rsidR="00356B47"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xame (Other)</w:t>
            </w:r>
          </w:p>
        </w:tc>
        <w:tc>
          <w:tcPr>
            <w:tcW w:w="123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3,5*</w:t>
            </w:r>
          </w:p>
        </w:tc>
      </w:tr>
      <w:tr w:rsidR="00E352A3" w:rsidRPr="00E352A3" w:rsidTr="00DF7377">
        <w:trPr>
          <w:trHeight w:val="397"/>
        </w:trPr>
        <w:tc>
          <w:tcPr>
            <w:tcW w:w="166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61" w:type="dxa"/>
            <w:gridSpan w:val="2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922" w:type="dxa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3,5*</w:t>
            </w:r>
          </w:p>
        </w:tc>
        <w:tc>
          <w:tcPr>
            <w:tcW w:w="1151" w:type="dxa"/>
            <w:gridSpan w:val="3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408" w:type="dxa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21" w:type="dxa"/>
            <w:gridSpan w:val="5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239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352A3" w:rsidRPr="00E352A3" w:rsidTr="00DF7377">
        <w:trPr>
          <w:trHeight w:val="397"/>
        </w:trPr>
        <w:tc>
          <w:tcPr>
            <w:tcW w:w="166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361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92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151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40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721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23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6B47" w:rsidRPr="00E352A3" w:rsidRDefault="00356B47" w:rsidP="00356B4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352A3" w:rsidRPr="00E352A3" w:rsidTr="00BC62F9">
        <w:tc>
          <w:tcPr>
            <w:tcW w:w="1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Grading and evaluating student work in class and at the final exam</w:t>
            </w:r>
          </w:p>
        </w:tc>
        <w:tc>
          <w:tcPr>
            <w:tcW w:w="7802" w:type="dxa"/>
            <w:gridSpan w:val="14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pStyle w:val="HTMLPreformatted"/>
              <w:spacing w:line="276" w:lineRule="auto"/>
              <w:jc w:val="both"/>
              <w:rPr>
                <w:rFonts w:ascii="Arial" w:hAnsi="Arial" w:cs="Arial"/>
                <w:i/>
                <w:iCs/>
                <w:color w:val="000000" w:themeColor="text1"/>
                <w:lang w:eastAsia="hr-HR"/>
              </w:rPr>
            </w:pPr>
            <w:r w:rsidRPr="00E352A3">
              <w:rPr>
                <w:rFonts w:ascii="Arial" w:hAnsi="Arial" w:cs="Arial"/>
                <w:color w:val="000000" w:themeColor="text1"/>
                <w:lang w:val="en-GB"/>
              </w:rPr>
              <w:t xml:space="preserve">During the semester, knowledge check will be conducted through two written tests. * </w:t>
            </w:r>
            <w:r w:rsidRPr="00E352A3">
              <w:rPr>
                <w:rFonts w:ascii="Arial" w:hAnsi="Arial" w:cs="Arial"/>
                <w:color w:val="000000" w:themeColor="text1"/>
                <w:lang w:val="en-AU" w:eastAsia="hr-HR"/>
              </w:rPr>
              <w:t xml:space="preserve">Only students who achieve 60% or more on the self-evaluation tests before mid-term test can take the written mid-term test. </w:t>
            </w:r>
            <w:r w:rsidRPr="00E352A3">
              <w:rPr>
                <w:rFonts w:ascii="Arial" w:hAnsi="Arial" w:cs="Arial"/>
                <w:color w:val="000000" w:themeColor="text1"/>
                <w:lang w:val="en-GB"/>
              </w:rPr>
              <w:t xml:space="preserve">Deployment of both tests replaces the final exam. </w:t>
            </w:r>
            <w:r w:rsidRPr="00E352A3">
              <w:rPr>
                <w:rFonts w:ascii="Arial" w:hAnsi="Arial" w:cs="Arial"/>
                <w:b/>
                <w:color w:val="000000" w:themeColor="text1"/>
                <w:lang w:val="en"/>
              </w:rPr>
              <w:t xml:space="preserve"> </w:t>
            </w:r>
            <w:r w:rsidRPr="00E352A3">
              <w:rPr>
                <w:rFonts w:ascii="Arial" w:hAnsi="Arial" w:cs="Arial"/>
                <w:color w:val="000000" w:themeColor="text1"/>
                <w:lang w:val="en"/>
              </w:rPr>
              <w:t>Students at the end of the semester access to the written exam.</w:t>
            </w:r>
          </w:p>
          <w:p w:rsidR="0074206B" w:rsidRPr="00E352A3" w:rsidRDefault="0074206B" w:rsidP="0074206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A test and exam is considered to be passed if the student achieves more than 60% of the correct answers.</w:t>
            </w:r>
          </w:p>
          <w:p w:rsidR="0074206B" w:rsidRPr="00E352A3" w:rsidRDefault="0074206B" w:rsidP="0074206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4206B" w:rsidRPr="00E352A3" w:rsidRDefault="0074206B" w:rsidP="0074206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Points of appreciation for written knowledge exam:</w:t>
            </w:r>
          </w:p>
          <w:p w:rsidR="0074206B" w:rsidRPr="00E352A3" w:rsidRDefault="0074206B" w:rsidP="0074206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0 - 59,99 inadequate (1)</w:t>
            </w:r>
          </w:p>
          <w:p w:rsidR="0074206B" w:rsidRPr="00E352A3" w:rsidRDefault="0074206B" w:rsidP="0074206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60 - 69,99 sufficient (2)</w:t>
            </w:r>
          </w:p>
          <w:p w:rsidR="0074206B" w:rsidRPr="00E352A3" w:rsidRDefault="0074206B" w:rsidP="0074206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70 - 79,99 good (3)</w:t>
            </w:r>
          </w:p>
          <w:p w:rsidR="0074206B" w:rsidRPr="00E352A3" w:rsidRDefault="0074206B" w:rsidP="0074206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80 - 80,99 very good (4)</w:t>
            </w:r>
          </w:p>
          <w:p w:rsidR="0074206B" w:rsidRPr="00E352A3" w:rsidRDefault="0074206B" w:rsidP="0074206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90 -100 excellent (5)</w:t>
            </w:r>
          </w:p>
          <w:p w:rsidR="0074206B" w:rsidRPr="00E352A3" w:rsidRDefault="0074206B" w:rsidP="0074206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4206B" w:rsidRPr="00E352A3" w:rsidRDefault="0074206B" w:rsidP="0074206B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During the course, students can get an additional maximum of 10 points that are summed up in written tests by participating in the teaching process. 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This rule applies only to students who have a positive score on in written tests (60% and above).</w:t>
            </w:r>
          </w:p>
        </w:tc>
      </w:tr>
      <w:tr w:rsidR="00E352A3" w:rsidRPr="00E352A3" w:rsidTr="00DF7377">
        <w:tc>
          <w:tcPr>
            <w:tcW w:w="166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928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6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606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E352A3" w:rsidRPr="00E352A3" w:rsidTr="00DF7377">
        <w:trPr>
          <w:trHeight w:val="75"/>
        </w:trPr>
        <w:tc>
          <w:tcPr>
            <w:tcW w:w="166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928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</w:rPr>
              <w:t>Authorized lectures and teaching materials on Moodle's course pages</w:t>
            </w:r>
          </w:p>
        </w:tc>
        <w:tc>
          <w:tcPr>
            <w:tcW w:w="126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Moodle</w:t>
            </w:r>
          </w:p>
        </w:tc>
      </w:tr>
      <w:tr w:rsidR="00E352A3" w:rsidRPr="00E352A3" w:rsidTr="00DF7377">
        <w:trPr>
          <w:trHeight w:val="75"/>
        </w:trPr>
        <w:tc>
          <w:tcPr>
            <w:tcW w:w="166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928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68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06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352A3" w:rsidRPr="00E352A3" w:rsidTr="00DF7377">
        <w:trPr>
          <w:trHeight w:val="75"/>
        </w:trPr>
        <w:tc>
          <w:tcPr>
            <w:tcW w:w="166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928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06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352A3" w:rsidRPr="00E352A3" w:rsidTr="00DF7377">
        <w:trPr>
          <w:trHeight w:val="75"/>
        </w:trPr>
        <w:tc>
          <w:tcPr>
            <w:tcW w:w="166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928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06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352A3" w:rsidRPr="00E352A3" w:rsidTr="00DF7377">
        <w:trPr>
          <w:trHeight w:val="175"/>
        </w:trPr>
        <w:tc>
          <w:tcPr>
            <w:tcW w:w="166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928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06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352A3" w:rsidRPr="00E352A3" w:rsidTr="00DF7377">
        <w:trPr>
          <w:trHeight w:val="175"/>
        </w:trPr>
        <w:tc>
          <w:tcPr>
            <w:tcW w:w="166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928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06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352A3" w:rsidRPr="00E352A3" w:rsidTr="00DF7377">
        <w:trPr>
          <w:trHeight w:val="175"/>
        </w:trPr>
        <w:tc>
          <w:tcPr>
            <w:tcW w:w="166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928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06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352A3" w:rsidRPr="00E352A3" w:rsidTr="00DF7377">
        <w:trPr>
          <w:trHeight w:val="75"/>
        </w:trPr>
        <w:tc>
          <w:tcPr>
            <w:tcW w:w="166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928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06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E352A3" w:rsidRPr="00E352A3" w:rsidTr="00DF7377">
        <w:tc>
          <w:tcPr>
            <w:tcW w:w="166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bookmarkStart w:id="1" w:name="bau005"/>
        <w:tc>
          <w:tcPr>
            <w:tcW w:w="780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fldChar w:fldCharType="begin"/>
            </w: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instrText xml:space="preserve"> HYPERLINK "https://www.sciencedirect.com/science/article/abs/pii/S1062940817303194" \l "!" </w:instrText>
            </w: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Škrabić Perić, B.</w:t>
            </w: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fldChar w:fldCharType="end"/>
            </w:r>
            <w:bookmarkStart w:id="2" w:name="bau010"/>
            <w:bookmarkEnd w:id="1"/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, R</w:t>
            </w:r>
            <w:hyperlink r:id="rId8" w:anchor="!" w:history="1">
              <w:r w:rsidRPr="00E352A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t>imac Smiljanić</w:t>
              </w:r>
            </w:hyperlink>
            <w:bookmarkStart w:id="3" w:name="bau015"/>
            <w:bookmarkEnd w:id="2"/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, A. </w:t>
            </w:r>
            <w:bookmarkEnd w:id="3"/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Aljinović, Z. (2018.): Credit risk of subsidiaries of foreign banks in CEE countries: Impacts of the parent bank and home country economic environment, </w:t>
            </w:r>
            <w:hyperlink r:id="rId9" w:tooltip="Go to The North American Journal of Economics and Finance on ScienceDirect" w:history="1">
              <w:r w:rsidRPr="00E352A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t>The North American Journal of Economics and Finance</w:t>
              </w:r>
            </w:hyperlink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, Available online 11 April 2018, </w:t>
            </w:r>
            <w:hyperlink r:id="rId10" w:tgtFrame="_blank" w:tooltip="Persistent link using digital object identifier" w:history="1">
              <w:r w:rsidRPr="00E352A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t>https://doi.org/10.1016/j.najef.2018.03.009</w:t>
              </w:r>
            </w:hyperlink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Aguilar, A., Cantu, C. (2020): </w:t>
            </w:r>
            <w:r w:rsidRPr="00E352A3">
              <w:rPr>
                <w:rFonts w:ascii="Arial" w:hAnsi="Arial" w:cs="Arial"/>
                <w:bCs/>
                <w:color w:val="000000" w:themeColor="text1"/>
                <w:kern w:val="36"/>
                <w:sz w:val="20"/>
                <w:szCs w:val="20"/>
                <w:lang w:eastAsia="hr-HR"/>
              </w:rPr>
              <w:t>Monetary policy response in emerging market economies: why was it different this time?, BIS Bulletin No 32, BIS</w:t>
            </w: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, dostupno na: https://www.bis.org/publ/bisbull32.htm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Makhlouf, G. (2020.): COVID-19 and future of monetary policy, Central bankers' speeches, BIS, dostupno na https://www.bis.org/review/r200915a.htm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Varghese, R., Zhang, Y.S.: (2018): A New Wave of ECB’s Unconventional Monetary Policies: Domestic Impact and Spillovers Richard, IMF Working Paper, WP 18/11, International Monetary Found. 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Guerini, Mattia and Lamperti, Francesco and Mazzocchetti, Andrea, Unconventional Monetary Policy: Between the Past and Future of Monetary Economics (April 23, 2018). LEM Working Papers, Forthcoming. Available at SSRN: </w:t>
            </w:r>
            <w:hyperlink r:id="rId11" w:tgtFrame="_blank" w:history="1">
              <w:r w:rsidRPr="00E352A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u w:val="single"/>
                  <w:shd w:val="clear" w:color="auto" w:fill="FFFFFF"/>
                </w:rPr>
                <w:t>https://ssrn.com/abstract=3167969</w:t>
              </w:r>
            </w:hyperlink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or </w:t>
            </w:r>
            <w:hyperlink r:id="rId12" w:tgtFrame="_blank" w:history="1">
              <w:r w:rsidRPr="00E352A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u w:val="single"/>
                  <w:shd w:val="clear" w:color="auto" w:fill="FFFFFF"/>
                </w:rPr>
                <w:t>http://dx.doi.org/10.2139/ssrn.3167969</w:t>
              </w:r>
            </w:hyperlink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Bordo, Michael D., An Historical Perspective on Financial Stability and Monetary Policy Regimes: A Case for Caution in Central Banks Current Obsession with </w:t>
            </w: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Financial Stability (March 16, 2018). Norges Bank Working Paper 5/2018. Available at SSRN: </w:t>
            </w:r>
            <w:hyperlink r:id="rId13" w:tgtFrame="_blank" w:history="1">
              <w:r w:rsidRPr="00E352A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u w:val="single"/>
                  <w:shd w:val="clear" w:color="auto" w:fill="FFFFFF"/>
                </w:rPr>
                <w:t>https://ssrn.com/abstract=3160020</w:t>
              </w:r>
            </w:hyperlink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 or </w:t>
            </w:r>
            <w:hyperlink r:id="rId14" w:tgtFrame="_blank" w:history="1">
              <w:r w:rsidRPr="00E352A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  <w:u w:val="single"/>
                  <w:shd w:val="clear" w:color="auto" w:fill="FFFFFF"/>
                </w:rPr>
                <w:t>http://dx.doi.org/10.2139/ssrn.3160020</w:t>
              </w:r>
            </w:hyperlink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Mishkin, Frederic (2011): MONETARY POLICY STRATEGY: LESSONS FROM THE CRISIS, NBER, NBER WORKING PAPER SERIES, Working Paper 16755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Mishkin, Frederic (2007) "How Did We Get Here?" in Frederic Mishkin, Monetary Policy Strategy, MIT Press, Cambridge and London.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Taylor, John B., "A Historical Analysis of Monetary Policy Rules" in John B. Taylor, ed., Monetary Policy Rules, NBER and University of Chicago Press, 1999, p. 319-341.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King, Mervyn (2002) "The inflation target ten years on" Bank of England Quarterly Review, Winter, p. 459-474.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ab/>
              <w:t xml:space="preserve">European Central Bank, "Monthly Bulletin--the 10th Anniversary of the ECB" Poglavlja 1-4 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Beyer, Andreas, Vitor Gaspar, Christina Geberding and Otmar Issing (2009) "Opting Out of the Great Inflation: German Monetary Policy after the Breakdown of Bretton Woods" European Central Bank Working Paper 1020, March. 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De Grauwe, Paul (1989) International Money: Post-War Trends and Theories, Oxford University Press, Chapters 1-3.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Issing, Otmar (2010) "The Development of Monetary Policy in the 20th Century: Some Reflections" National Bank of Belgium Working Paper.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Mishkin, Frederic (1999) "International Experiences with Different Monetary Policy Regimes" NBER Working Paper 6965.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Dornbusch, Rudiger (2001) "Few Monies, Better Monies" American Economic Review Volume 91, Number 2, p. 238-242. 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Fischer, Stanley (2001) "Exchange Rate Regimes: Is the Bipolar View Correct?" Journal of Economic Perspectives Volume 15, Number 2, p. 3-24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Bernanke, Ben S., and Cara S. Lown (1991) "The Credit Crunch," Brookings Papers on Economic Activity, 1991:2, pp. 205-39.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Friedman, Benjamin and Kenneth Kuttner (1993), "Another Look at the Evidence on Money-Income Causality" Journal of Econometrics 57:189-203. 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Orphanides, Athanasios and Volker Wieland (2008) "Economic Projections and Rules of Thumb for Monetary Policy" Federal Reserve Bank of St. Louis Review July/August  90(4) p. 307-24.  </w:t>
            </w:r>
          </w:p>
          <w:p w:rsidR="0074206B" w:rsidRPr="00E352A3" w:rsidRDefault="0074206B" w:rsidP="0074206B">
            <w:pPr>
              <w:spacing w:after="0" w:line="240" w:lineRule="auto"/>
              <w:ind w:left="720" w:hanging="720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World Bank (2018): Global Financial Development Report 2017/2018 : Bankers without Borders, Wolrl Bank, https://openknowledge.worldbank.org/handle/10986/28482?show=full</w:t>
            </w:r>
          </w:p>
          <w:p w:rsidR="0074206B" w:rsidRPr="00E352A3" w:rsidRDefault="0074206B" w:rsidP="0074206B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:rsidR="0074206B" w:rsidRPr="00E352A3" w:rsidRDefault="0074206B" w:rsidP="0074206B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Vijesti, slučajevi i podaci  s portala Hrvatske narodne banke, </w:t>
            </w:r>
            <w:hyperlink r:id="rId15" w:history="1">
              <w:r w:rsidRPr="00E352A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t>https://www.</w:t>
              </w:r>
            </w:hyperlink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hnb.hr</w:t>
            </w:r>
          </w:p>
          <w:p w:rsidR="0074206B" w:rsidRPr="00E352A3" w:rsidRDefault="0074206B" w:rsidP="0074206B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Vijesti, slučajevi i podaci  s portala Banke za međunarodna poravnanja, </w:t>
            </w:r>
            <w:hyperlink r:id="rId16" w:history="1">
              <w:r w:rsidRPr="00E352A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t>https://www.bis.org/</w:t>
              </w:r>
            </w:hyperlink>
          </w:p>
          <w:p w:rsidR="0074206B" w:rsidRPr="00E352A3" w:rsidRDefault="0074206B" w:rsidP="0074206B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Vijesti, slučajevi i podaci  s portala Svjetske banke,  </w:t>
            </w:r>
            <w:hyperlink r:id="rId17" w:history="1">
              <w:r w:rsidRPr="00E352A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t>https://www.Worldbank.org</w:t>
              </w:r>
            </w:hyperlink>
          </w:p>
          <w:p w:rsidR="0074206B" w:rsidRPr="00E352A3" w:rsidRDefault="0074206B" w:rsidP="0074206B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352A3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 xml:space="preserve">Vijesti, slučajevi i podaci  s portala Međunarodnog monetarnog fonda, </w:t>
            </w:r>
            <w:hyperlink r:id="rId18" w:history="1">
              <w:r w:rsidRPr="00E352A3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t>www.imf.org</w:t>
              </w:r>
            </w:hyperlink>
          </w:p>
          <w:p w:rsidR="0074206B" w:rsidRPr="00E352A3" w:rsidRDefault="0074206B" w:rsidP="0074206B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</w:p>
          <w:p w:rsidR="0074206B" w:rsidRPr="00E352A3" w:rsidRDefault="0074206B" w:rsidP="0074206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352A3" w:rsidRPr="00E352A3" w:rsidTr="00DF7377">
        <w:tc>
          <w:tcPr>
            <w:tcW w:w="166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80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Class attendance records and documentation about students’ results in fulfilling their obligations (lecturer)</w:t>
            </w:r>
          </w:p>
          <w:p w:rsidR="0074206B" w:rsidRPr="00E352A3" w:rsidRDefault="0074206B" w:rsidP="0074206B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Class management surveillance (Vice-dean for education).</w:t>
            </w:r>
          </w:p>
          <w:p w:rsidR="0074206B" w:rsidRPr="00E352A3" w:rsidRDefault="0074206B" w:rsidP="0074206B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Study efficacy analysis of all study courses (Vice-dean for education).</w:t>
            </w:r>
          </w:p>
          <w:p w:rsidR="0074206B" w:rsidRPr="00E352A3" w:rsidRDefault="0074206B" w:rsidP="0074206B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 poll on lecturer and class efficacy for each study course (University of Split, Quality Improvement Center)</w:t>
            </w:r>
          </w:p>
          <w:p w:rsidR="0074206B" w:rsidRPr="00E352A3" w:rsidRDefault="0074206B" w:rsidP="0074206B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All course learning outcomes are to be verified by the course teacher during the exam. Exam content is being validated on regular basis in order to evaluate the </w:t>
            </w: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appropriateness of means of examining the learning outcomes (Vice-dean for education).</w:t>
            </w:r>
          </w:p>
        </w:tc>
      </w:tr>
      <w:tr w:rsidR="00E352A3" w:rsidRPr="00E352A3" w:rsidTr="00DF7377">
        <w:tc>
          <w:tcPr>
            <w:tcW w:w="166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4206B" w:rsidRPr="00E352A3" w:rsidRDefault="0074206B" w:rsidP="0074206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E352A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Other (as the proposer wishes to add)</w:t>
            </w:r>
          </w:p>
        </w:tc>
        <w:tc>
          <w:tcPr>
            <w:tcW w:w="780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4206B" w:rsidRPr="00E352A3" w:rsidRDefault="0074206B" w:rsidP="0074206B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:rsidR="00431C20" w:rsidRPr="00E352A3" w:rsidRDefault="00431C20">
      <w:pPr>
        <w:rPr>
          <w:color w:val="000000" w:themeColor="text1"/>
        </w:rPr>
      </w:pPr>
    </w:p>
    <w:sectPr w:rsidR="00431C20" w:rsidRPr="00E352A3" w:rsidSect="00431C20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251" w:rsidRDefault="00DF0251" w:rsidP="007868FB">
      <w:pPr>
        <w:spacing w:after="0" w:line="240" w:lineRule="auto"/>
      </w:pPr>
      <w:r>
        <w:separator/>
      </w:r>
    </w:p>
  </w:endnote>
  <w:endnote w:type="continuationSeparator" w:id="0">
    <w:p w:rsidR="00DF0251" w:rsidRDefault="00DF0251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52A3" w:rsidRDefault="00E352A3" w:rsidP="00E352A3">
    <w:pPr>
      <w:pStyle w:val="Header"/>
    </w:pPr>
  </w:p>
  <w:p w:rsidR="00E352A3" w:rsidRDefault="00E352A3" w:rsidP="00E352A3"/>
  <w:p w:rsidR="00E352A3" w:rsidRDefault="00E352A3" w:rsidP="00E352A3">
    <w:pPr>
      <w:pStyle w:val="Footer"/>
    </w:pPr>
  </w:p>
  <w:p w:rsidR="00E352A3" w:rsidRDefault="00E352A3" w:rsidP="00E352A3"/>
  <w:p w:rsidR="00E352A3" w:rsidRDefault="00E352A3" w:rsidP="00E352A3">
    <w:pPr>
      <w:pStyle w:val="Footer"/>
    </w:pPr>
    <w:r>
      <w:t>2020./2021. 01/12/20 – 40.Sj. FV</w:t>
    </w:r>
  </w:p>
  <w:p w:rsidR="00E352A3" w:rsidRDefault="00E352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251" w:rsidRDefault="00DF0251" w:rsidP="007868FB">
      <w:pPr>
        <w:spacing w:after="0" w:line="240" w:lineRule="auto"/>
      </w:pPr>
      <w:r>
        <w:separator/>
      </w:r>
    </w:p>
  </w:footnote>
  <w:footnote w:type="continuationSeparator" w:id="0">
    <w:p w:rsidR="00DF0251" w:rsidRDefault="00DF0251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54144A"/>
    <w:multiLevelType w:val="hybridMultilevel"/>
    <w:tmpl w:val="4112DFE6"/>
    <w:lvl w:ilvl="0" w:tplc="E2B0F414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866F8D"/>
    <w:multiLevelType w:val="hybridMultilevel"/>
    <w:tmpl w:val="776E195E"/>
    <w:lvl w:ilvl="0" w:tplc="041A000F">
      <w:start w:val="1"/>
      <w:numFmt w:val="decimal"/>
      <w:lvlText w:val="%1."/>
      <w:lvlJc w:val="left"/>
      <w:pPr>
        <w:ind w:left="381" w:hanging="360"/>
      </w:pPr>
    </w:lvl>
    <w:lvl w:ilvl="1" w:tplc="041A0019" w:tentative="1">
      <w:start w:val="1"/>
      <w:numFmt w:val="lowerLetter"/>
      <w:lvlText w:val="%2."/>
      <w:lvlJc w:val="left"/>
      <w:pPr>
        <w:ind w:left="1101" w:hanging="360"/>
      </w:pPr>
    </w:lvl>
    <w:lvl w:ilvl="2" w:tplc="041A001B" w:tentative="1">
      <w:start w:val="1"/>
      <w:numFmt w:val="lowerRoman"/>
      <w:lvlText w:val="%3."/>
      <w:lvlJc w:val="right"/>
      <w:pPr>
        <w:ind w:left="1821" w:hanging="180"/>
      </w:pPr>
    </w:lvl>
    <w:lvl w:ilvl="3" w:tplc="041A000F" w:tentative="1">
      <w:start w:val="1"/>
      <w:numFmt w:val="decimal"/>
      <w:lvlText w:val="%4."/>
      <w:lvlJc w:val="left"/>
      <w:pPr>
        <w:ind w:left="2541" w:hanging="360"/>
      </w:pPr>
    </w:lvl>
    <w:lvl w:ilvl="4" w:tplc="041A0019" w:tentative="1">
      <w:start w:val="1"/>
      <w:numFmt w:val="lowerLetter"/>
      <w:lvlText w:val="%5."/>
      <w:lvlJc w:val="left"/>
      <w:pPr>
        <w:ind w:left="3261" w:hanging="360"/>
      </w:pPr>
    </w:lvl>
    <w:lvl w:ilvl="5" w:tplc="041A001B" w:tentative="1">
      <w:start w:val="1"/>
      <w:numFmt w:val="lowerRoman"/>
      <w:lvlText w:val="%6."/>
      <w:lvlJc w:val="right"/>
      <w:pPr>
        <w:ind w:left="3981" w:hanging="180"/>
      </w:pPr>
    </w:lvl>
    <w:lvl w:ilvl="6" w:tplc="041A000F" w:tentative="1">
      <w:start w:val="1"/>
      <w:numFmt w:val="decimal"/>
      <w:lvlText w:val="%7."/>
      <w:lvlJc w:val="left"/>
      <w:pPr>
        <w:ind w:left="4701" w:hanging="360"/>
      </w:pPr>
    </w:lvl>
    <w:lvl w:ilvl="7" w:tplc="041A0019" w:tentative="1">
      <w:start w:val="1"/>
      <w:numFmt w:val="lowerLetter"/>
      <w:lvlText w:val="%8."/>
      <w:lvlJc w:val="left"/>
      <w:pPr>
        <w:ind w:left="5421" w:hanging="360"/>
      </w:pPr>
    </w:lvl>
    <w:lvl w:ilvl="8" w:tplc="041A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4">
    <w:nsid w:val="2EE96A25"/>
    <w:multiLevelType w:val="hybridMultilevel"/>
    <w:tmpl w:val="360CE314"/>
    <w:lvl w:ilvl="0" w:tplc="041A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47" w:hanging="360"/>
      </w:pPr>
    </w:lvl>
    <w:lvl w:ilvl="2" w:tplc="041A001B" w:tentative="1">
      <w:start w:val="1"/>
      <w:numFmt w:val="lowerRoman"/>
      <w:lvlText w:val="%3."/>
      <w:lvlJc w:val="right"/>
      <w:pPr>
        <w:ind w:left="1867" w:hanging="180"/>
      </w:pPr>
    </w:lvl>
    <w:lvl w:ilvl="3" w:tplc="041A000F" w:tentative="1">
      <w:start w:val="1"/>
      <w:numFmt w:val="decimal"/>
      <w:lvlText w:val="%4."/>
      <w:lvlJc w:val="left"/>
      <w:pPr>
        <w:ind w:left="2587" w:hanging="360"/>
      </w:pPr>
    </w:lvl>
    <w:lvl w:ilvl="4" w:tplc="041A0019" w:tentative="1">
      <w:start w:val="1"/>
      <w:numFmt w:val="lowerLetter"/>
      <w:lvlText w:val="%5."/>
      <w:lvlJc w:val="left"/>
      <w:pPr>
        <w:ind w:left="3307" w:hanging="360"/>
      </w:pPr>
    </w:lvl>
    <w:lvl w:ilvl="5" w:tplc="041A001B" w:tentative="1">
      <w:start w:val="1"/>
      <w:numFmt w:val="lowerRoman"/>
      <w:lvlText w:val="%6."/>
      <w:lvlJc w:val="right"/>
      <w:pPr>
        <w:ind w:left="4027" w:hanging="180"/>
      </w:pPr>
    </w:lvl>
    <w:lvl w:ilvl="6" w:tplc="041A000F" w:tentative="1">
      <w:start w:val="1"/>
      <w:numFmt w:val="decimal"/>
      <w:lvlText w:val="%7."/>
      <w:lvlJc w:val="left"/>
      <w:pPr>
        <w:ind w:left="4747" w:hanging="360"/>
      </w:pPr>
    </w:lvl>
    <w:lvl w:ilvl="7" w:tplc="041A0019" w:tentative="1">
      <w:start w:val="1"/>
      <w:numFmt w:val="lowerLetter"/>
      <w:lvlText w:val="%8."/>
      <w:lvlJc w:val="left"/>
      <w:pPr>
        <w:ind w:left="5467" w:hanging="360"/>
      </w:pPr>
    </w:lvl>
    <w:lvl w:ilvl="8" w:tplc="041A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5">
    <w:nsid w:val="4E2944ED"/>
    <w:multiLevelType w:val="hybridMultilevel"/>
    <w:tmpl w:val="2892BF1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0E18A2"/>
    <w:multiLevelType w:val="hybridMultilevel"/>
    <w:tmpl w:val="540E026C"/>
    <w:lvl w:ilvl="0" w:tplc="041A000F">
      <w:start w:val="1"/>
      <w:numFmt w:val="decimal"/>
      <w:lvlText w:val="%1."/>
      <w:lvlJc w:val="left"/>
      <w:pPr>
        <w:ind w:left="381" w:hanging="360"/>
      </w:pPr>
    </w:lvl>
    <w:lvl w:ilvl="1" w:tplc="041A0019" w:tentative="1">
      <w:start w:val="1"/>
      <w:numFmt w:val="lowerLetter"/>
      <w:lvlText w:val="%2."/>
      <w:lvlJc w:val="left"/>
      <w:pPr>
        <w:ind w:left="1101" w:hanging="360"/>
      </w:pPr>
    </w:lvl>
    <w:lvl w:ilvl="2" w:tplc="041A001B" w:tentative="1">
      <w:start w:val="1"/>
      <w:numFmt w:val="lowerRoman"/>
      <w:lvlText w:val="%3."/>
      <w:lvlJc w:val="right"/>
      <w:pPr>
        <w:ind w:left="1821" w:hanging="180"/>
      </w:pPr>
    </w:lvl>
    <w:lvl w:ilvl="3" w:tplc="041A000F" w:tentative="1">
      <w:start w:val="1"/>
      <w:numFmt w:val="decimal"/>
      <w:lvlText w:val="%4."/>
      <w:lvlJc w:val="left"/>
      <w:pPr>
        <w:ind w:left="2541" w:hanging="360"/>
      </w:pPr>
    </w:lvl>
    <w:lvl w:ilvl="4" w:tplc="041A0019" w:tentative="1">
      <w:start w:val="1"/>
      <w:numFmt w:val="lowerLetter"/>
      <w:lvlText w:val="%5."/>
      <w:lvlJc w:val="left"/>
      <w:pPr>
        <w:ind w:left="3261" w:hanging="360"/>
      </w:pPr>
    </w:lvl>
    <w:lvl w:ilvl="5" w:tplc="041A001B" w:tentative="1">
      <w:start w:val="1"/>
      <w:numFmt w:val="lowerRoman"/>
      <w:lvlText w:val="%6."/>
      <w:lvlJc w:val="right"/>
      <w:pPr>
        <w:ind w:left="3981" w:hanging="180"/>
      </w:pPr>
    </w:lvl>
    <w:lvl w:ilvl="6" w:tplc="041A000F" w:tentative="1">
      <w:start w:val="1"/>
      <w:numFmt w:val="decimal"/>
      <w:lvlText w:val="%7."/>
      <w:lvlJc w:val="left"/>
      <w:pPr>
        <w:ind w:left="4701" w:hanging="360"/>
      </w:pPr>
    </w:lvl>
    <w:lvl w:ilvl="7" w:tplc="041A0019" w:tentative="1">
      <w:start w:val="1"/>
      <w:numFmt w:val="lowerLetter"/>
      <w:lvlText w:val="%8."/>
      <w:lvlJc w:val="left"/>
      <w:pPr>
        <w:ind w:left="5421" w:hanging="360"/>
      </w:pPr>
    </w:lvl>
    <w:lvl w:ilvl="8" w:tplc="041A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7">
    <w:nsid w:val="57324F61"/>
    <w:multiLevelType w:val="hybridMultilevel"/>
    <w:tmpl w:val="8AD233A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7F1CFB"/>
    <w:multiLevelType w:val="hybridMultilevel"/>
    <w:tmpl w:val="82F809A4"/>
    <w:lvl w:ilvl="0" w:tplc="C2D63AB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6C43153"/>
    <w:multiLevelType w:val="hybridMultilevel"/>
    <w:tmpl w:val="76BEE7DA"/>
    <w:lvl w:ilvl="0" w:tplc="041A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6794ACB"/>
    <w:multiLevelType w:val="hybridMultilevel"/>
    <w:tmpl w:val="D88897D2"/>
    <w:lvl w:ilvl="0" w:tplc="041A000F">
      <w:start w:val="1"/>
      <w:numFmt w:val="decimal"/>
      <w:lvlText w:val="%1."/>
      <w:lvlJc w:val="left"/>
      <w:pPr>
        <w:ind w:left="381" w:hanging="360"/>
      </w:pPr>
    </w:lvl>
    <w:lvl w:ilvl="1" w:tplc="041A0019" w:tentative="1">
      <w:start w:val="1"/>
      <w:numFmt w:val="lowerLetter"/>
      <w:lvlText w:val="%2."/>
      <w:lvlJc w:val="left"/>
      <w:pPr>
        <w:ind w:left="1101" w:hanging="360"/>
      </w:pPr>
    </w:lvl>
    <w:lvl w:ilvl="2" w:tplc="041A001B" w:tentative="1">
      <w:start w:val="1"/>
      <w:numFmt w:val="lowerRoman"/>
      <w:lvlText w:val="%3."/>
      <w:lvlJc w:val="right"/>
      <w:pPr>
        <w:ind w:left="1821" w:hanging="180"/>
      </w:pPr>
    </w:lvl>
    <w:lvl w:ilvl="3" w:tplc="041A000F" w:tentative="1">
      <w:start w:val="1"/>
      <w:numFmt w:val="decimal"/>
      <w:lvlText w:val="%4."/>
      <w:lvlJc w:val="left"/>
      <w:pPr>
        <w:ind w:left="2541" w:hanging="360"/>
      </w:pPr>
    </w:lvl>
    <w:lvl w:ilvl="4" w:tplc="041A0019" w:tentative="1">
      <w:start w:val="1"/>
      <w:numFmt w:val="lowerLetter"/>
      <w:lvlText w:val="%5."/>
      <w:lvlJc w:val="left"/>
      <w:pPr>
        <w:ind w:left="3261" w:hanging="360"/>
      </w:pPr>
    </w:lvl>
    <w:lvl w:ilvl="5" w:tplc="041A001B" w:tentative="1">
      <w:start w:val="1"/>
      <w:numFmt w:val="lowerRoman"/>
      <w:lvlText w:val="%6."/>
      <w:lvlJc w:val="right"/>
      <w:pPr>
        <w:ind w:left="3981" w:hanging="180"/>
      </w:pPr>
    </w:lvl>
    <w:lvl w:ilvl="6" w:tplc="041A000F" w:tentative="1">
      <w:start w:val="1"/>
      <w:numFmt w:val="decimal"/>
      <w:lvlText w:val="%7."/>
      <w:lvlJc w:val="left"/>
      <w:pPr>
        <w:ind w:left="4701" w:hanging="360"/>
      </w:pPr>
    </w:lvl>
    <w:lvl w:ilvl="7" w:tplc="041A0019" w:tentative="1">
      <w:start w:val="1"/>
      <w:numFmt w:val="lowerLetter"/>
      <w:lvlText w:val="%8."/>
      <w:lvlJc w:val="left"/>
      <w:pPr>
        <w:ind w:left="5421" w:hanging="360"/>
      </w:pPr>
    </w:lvl>
    <w:lvl w:ilvl="8" w:tplc="041A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4"/>
  </w:num>
  <w:num w:numId="2">
    <w:abstractNumId w:val="10"/>
  </w:num>
  <w:num w:numId="3">
    <w:abstractNumId w:val="11"/>
  </w:num>
  <w:num w:numId="4">
    <w:abstractNumId w:val="0"/>
  </w:num>
  <w:num w:numId="5">
    <w:abstractNumId w:val="1"/>
  </w:num>
  <w:num w:numId="6">
    <w:abstractNumId w:val="12"/>
  </w:num>
  <w:num w:numId="7">
    <w:abstractNumId w:val="8"/>
  </w:num>
  <w:num w:numId="8">
    <w:abstractNumId w:val="7"/>
  </w:num>
  <w:num w:numId="9">
    <w:abstractNumId w:val="3"/>
  </w:num>
  <w:num w:numId="10">
    <w:abstractNumId w:val="6"/>
  </w:num>
  <w:num w:numId="11">
    <w:abstractNumId w:val="13"/>
  </w:num>
  <w:num w:numId="12">
    <w:abstractNumId w:val="4"/>
  </w:num>
  <w:num w:numId="13">
    <w:abstractNumId w:val="5"/>
  </w:num>
  <w:num w:numId="14">
    <w:abstractNumId w:val="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FB"/>
    <w:rsid w:val="000062AA"/>
    <w:rsid w:val="00021F82"/>
    <w:rsid w:val="00072A92"/>
    <w:rsid w:val="000E1074"/>
    <w:rsid w:val="00161C70"/>
    <w:rsid w:val="001F1E7A"/>
    <w:rsid w:val="00273DA0"/>
    <w:rsid w:val="002C42CE"/>
    <w:rsid w:val="00356B47"/>
    <w:rsid w:val="004308AC"/>
    <w:rsid w:val="00431C20"/>
    <w:rsid w:val="00447FE3"/>
    <w:rsid w:val="00460CCF"/>
    <w:rsid w:val="0046230A"/>
    <w:rsid w:val="00495872"/>
    <w:rsid w:val="00515206"/>
    <w:rsid w:val="00580E0D"/>
    <w:rsid w:val="0074206B"/>
    <w:rsid w:val="007623A8"/>
    <w:rsid w:val="007677C4"/>
    <w:rsid w:val="007868FB"/>
    <w:rsid w:val="007A6979"/>
    <w:rsid w:val="007F3A05"/>
    <w:rsid w:val="00831788"/>
    <w:rsid w:val="00894CC5"/>
    <w:rsid w:val="009075C4"/>
    <w:rsid w:val="00964FDD"/>
    <w:rsid w:val="00984D9E"/>
    <w:rsid w:val="00A1428B"/>
    <w:rsid w:val="00A24E19"/>
    <w:rsid w:val="00A71C1F"/>
    <w:rsid w:val="00A8712C"/>
    <w:rsid w:val="00A9764A"/>
    <w:rsid w:val="00AB6CED"/>
    <w:rsid w:val="00AF1952"/>
    <w:rsid w:val="00B03260"/>
    <w:rsid w:val="00B344B6"/>
    <w:rsid w:val="00B4513F"/>
    <w:rsid w:val="00B45376"/>
    <w:rsid w:val="00BC6971"/>
    <w:rsid w:val="00BE6C92"/>
    <w:rsid w:val="00C065B6"/>
    <w:rsid w:val="00C44A16"/>
    <w:rsid w:val="00C670CF"/>
    <w:rsid w:val="00C70971"/>
    <w:rsid w:val="00D600D1"/>
    <w:rsid w:val="00DF0251"/>
    <w:rsid w:val="00DF7377"/>
    <w:rsid w:val="00E03C98"/>
    <w:rsid w:val="00E05CFF"/>
    <w:rsid w:val="00E17DB2"/>
    <w:rsid w:val="00E352A3"/>
    <w:rsid w:val="00EA5A5E"/>
    <w:rsid w:val="00EE2076"/>
    <w:rsid w:val="00F16135"/>
    <w:rsid w:val="00FA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0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lt-edited">
    <w:name w:val="alt-edited"/>
    <w:basedOn w:val="DefaultParagraphFont"/>
    <w:rsid w:val="00894CC5"/>
  </w:style>
  <w:style w:type="character" w:customStyle="1" w:styleId="shorttext">
    <w:name w:val="short_text"/>
    <w:basedOn w:val="DefaultParagraphFont"/>
    <w:rsid w:val="009075C4"/>
  </w:style>
  <w:style w:type="paragraph" w:styleId="BalloonText">
    <w:name w:val="Balloon Text"/>
    <w:basedOn w:val="Normal"/>
    <w:link w:val="BalloonTextChar"/>
    <w:uiPriority w:val="99"/>
    <w:semiHidden/>
    <w:unhideWhenUsed/>
    <w:rsid w:val="00AF1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952"/>
    <w:rPr>
      <w:rFonts w:ascii="Tahoma" w:eastAsia="Times New Roman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56B4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56B47"/>
    <w:rPr>
      <w:rFonts w:ascii="Consolas" w:eastAsia="Times New Roman" w:hAnsi="Consolas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4206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4206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20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lt-edited">
    <w:name w:val="alt-edited"/>
    <w:basedOn w:val="DefaultParagraphFont"/>
    <w:rsid w:val="00894CC5"/>
  </w:style>
  <w:style w:type="character" w:customStyle="1" w:styleId="shorttext">
    <w:name w:val="short_text"/>
    <w:basedOn w:val="DefaultParagraphFont"/>
    <w:rsid w:val="009075C4"/>
  </w:style>
  <w:style w:type="paragraph" w:styleId="BalloonText">
    <w:name w:val="Balloon Text"/>
    <w:basedOn w:val="Normal"/>
    <w:link w:val="BalloonTextChar"/>
    <w:uiPriority w:val="99"/>
    <w:semiHidden/>
    <w:unhideWhenUsed/>
    <w:rsid w:val="00AF1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952"/>
    <w:rPr>
      <w:rFonts w:ascii="Tahoma" w:eastAsia="Times New Roman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56B4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56B47"/>
    <w:rPr>
      <w:rFonts w:ascii="Consolas" w:eastAsia="Times New Roman" w:hAnsi="Consolas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4206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420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1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abs/pii/S1062940817303194" TargetMode="External"/><Relationship Id="rId13" Type="http://schemas.openxmlformats.org/officeDocument/2006/relationships/hyperlink" Target="https://ssrn.com/abstract=3160020" TargetMode="External"/><Relationship Id="rId18" Type="http://schemas.openxmlformats.org/officeDocument/2006/relationships/hyperlink" Target="http://www.imf.org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dx.doi.org/10.2139/ssrn.3167969" TargetMode="External"/><Relationship Id="rId17" Type="http://schemas.openxmlformats.org/officeDocument/2006/relationships/hyperlink" Target="https://www.Worldbank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bis.org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ssrn.com/abstract=316796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" TargetMode="External"/><Relationship Id="rId10" Type="http://schemas.openxmlformats.org/officeDocument/2006/relationships/hyperlink" Target="https://doi.org/10.1016/j.najef.2018.03.009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ciencedirect.com/science/journal/10629408" TargetMode="External"/><Relationship Id="rId14" Type="http://schemas.openxmlformats.org/officeDocument/2006/relationships/hyperlink" Target="https://dx.doi.org/10.2139/ssrn.31600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1624</Words>
  <Characters>9260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Ana Rimac Smiljanić</cp:lastModifiedBy>
  <cp:revision>2</cp:revision>
  <cp:lastPrinted>2018-10-09T11:39:00Z</cp:lastPrinted>
  <dcterms:created xsi:type="dcterms:W3CDTF">2021-09-27T12:09:00Z</dcterms:created>
  <dcterms:modified xsi:type="dcterms:W3CDTF">2021-09-27T12:09:00Z</dcterms:modified>
</cp:coreProperties>
</file>